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A41A2" w:rsidRDefault="00CA41A2">
      <w:pPr>
        <w:pStyle w:val="newncpi0"/>
        <w:jc w:val="center"/>
      </w:pPr>
      <w:bookmarkStart w:id="0" w:name="_GoBack"/>
      <w:bookmarkEnd w:id="0"/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:rsidR="00CA41A2" w:rsidRDefault="00CA41A2">
      <w:pPr>
        <w:pStyle w:val="newncpi"/>
        <w:ind w:firstLine="0"/>
        <w:jc w:val="center"/>
      </w:pPr>
      <w:r>
        <w:rPr>
          <w:rStyle w:val="datepr"/>
        </w:rPr>
        <w:t>10 декабря 2024 г.</w:t>
      </w:r>
      <w:r>
        <w:rPr>
          <w:rStyle w:val="number"/>
        </w:rPr>
        <w:t xml:space="preserve"> № 766</w:t>
      </w:r>
    </w:p>
    <w:p w:rsidR="00CA41A2" w:rsidRDefault="00CA41A2">
      <w:pPr>
        <w:pStyle w:val="titlencpi"/>
      </w:pPr>
      <w:r>
        <w:t>Об изменении решения Ивьевского районного исполнительного комитета от 26 марта 2024 г. № 191</w:t>
      </w:r>
    </w:p>
    <w:p w:rsidR="00CA41A2" w:rsidRDefault="00CA41A2">
      <w:pPr>
        <w:pStyle w:val="preamble"/>
      </w:pPr>
      <w:r>
        <w:t>На основании абзаца одиннадцатого пункта 3 Инструкции о порядке планирования и финансирования расходов организаций по предоставлению жилищно-коммунальных услуг населению, утвержденной постановлением Министерства финансов Республики Беларусь и Министерства жилищно-коммунального хозяйства Республики Беларусь от 11 ноября 2019 г. № 60/18, Ивьевский районный исполнительный комитет РЕШИЛ:</w:t>
      </w:r>
    </w:p>
    <w:p w:rsidR="00CA41A2" w:rsidRDefault="00CA41A2">
      <w:pPr>
        <w:pStyle w:val="point"/>
      </w:pPr>
      <w:r>
        <w:t>1. Приложение к решению Ивьевского районного исполнительного комитета от 26 марта 2024 г. № 191 «Об определении нормативов субсидирования на 2024 год» изложить в новой редакции (прилагается).</w:t>
      </w:r>
    </w:p>
    <w:p w:rsidR="00CA41A2" w:rsidRDefault="00CA41A2">
      <w:pPr>
        <w:pStyle w:val="point"/>
      </w:pPr>
      <w:r>
        <w:t>2. Настоящее решение вступает в силу после его официального опубликования.</w:t>
      </w:r>
    </w:p>
    <w:p w:rsidR="00CA41A2" w:rsidRDefault="00CA41A2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8"/>
        <w:gridCol w:w="4679"/>
      </w:tblGrid>
      <w:tr w:rsidR="00CA41A2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A41A2" w:rsidRDefault="00CA41A2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A41A2" w:rsidRDefault="00CA41A2">
            <w:pPr>
              <w:pStyle w:val="newncpi0"/>
              <w:jc w:val="right"/>
            </w:pPr>
            <w:r>
              <w:rPr>
                <w:rStyle w:val="pers"/>
              </w:rPr>
              <w:t>И.Н.Генец</w:t>
            </w:r>
          </w:p>
        </w:tc>
      </w:tr>
    </w:tbl>
    <w:p w:rsidR="00CA41A2" w:rsidRDefault="00CA41A2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64"/>
        <w:gridCol w:w="2693"/>
      </w:tblGrid>
      <w:tr w:rsidR="00CA41A2">
        <w:tc>
          <w:tcPr>
            <w:tcW w:w="35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A41A2" w:rsidRDefault="00CA41A2">
            <w:pPr>
              <w:pStyle w:val="newncpi"/>
            </w:pPr>
            <w:r>
              <w:t> </w:t>
            </w:r>
          </w:p>
        </w:tc>
        <w:tc>
          <w:tcPr>
            <w:tcW w:w="14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A41A2" w:rsidRDefault="00CA41A2">
            <w:pPr>
              <w:pStyle w:val="append1"/>
            </w:pPr>
            <w:r>
              <w:t>Приложение</w:t>
            </w:r>
          </w:p>
          <w:p w:rsidR="00CA41A2" w:rsidRDefault="00CA41A2">
            <w:pPr>
              <w:pStyle w:val="append"/>
            </w:pPr>
            <w:r>
              <w:t xml:space="preserve">к решению </w:t>
            </w:r>
            <w:r>
              <w:br/>
              <w:t xml:space="preserve">Ивьевского районного </w:t>
            </w:r>
            <w:r>
              <w:br/>
              <w:t xml:space="preserve">исполнительного комитета </w:t>
            </w:r>
            <w:r>
              <w:br/>
              <w:t xml:space="preserve">26.03.2024 № 191 </w:t>
            </w:r>
            <w:r>
              <w:br/>
              <w:t xml:space="preserve">(в редакции решения </w:t>
            </w:r>
            <w:r>
              <w:br/>
              <w:t xml:space="preserve">Ивьевского районного </w:t>
            </w:r>
            <w:r>
              <w:br/>
              <w:t xml:space="preserve">исполнительного комитета </w:t>
            </w:r>
            <w:r>
              <w:br/>
              <w:t xml:space="preserve">10.12.2024 № 766) </w:t>
            </w:r>
          </w:p>
        </w:tc>
      </w:tr>
    </w:tbl>
    <w:p w:rsidR="00CA41A2" w:rsidRDefault="00CA41A2">
      <w:pPr>
        <w:pStyle w:val="titlep"/>
        <w:ind w:right="2692"/>
        <w:jc w:val="left"/>
      </w:pPr>
      <w:r>
        <w:t>НОРМАТИВЫ</w:t>
      </w:r>
      <w:r>
        <w:br/>
        <w:t>субсидирования жилищно-коммунальных услуг, предоставляемых населению, на 2024 год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96"/>
        <w:gridCol w:w="1286"/>
        <w:gridCol w:w="2126"/>
        <w:gridCol w:w="3539"/>
      </w:tblGrid>
      <w:tr w:rsidR="00CA41A2">
        <w:trPr>
          <w:trHeight w:val="240"/>
        </w:trPr>
        <w:tc>
          <w:tcPr>
            <w:tcW w:w="1281" w:type="pct"/>
            <w:vMerge w:val="restar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A41A2" w:rsidRDefault="00CA41A2">
            <w:pPr>
              <w:pStyle w:val="table10"/>
              <w:jc w:val="center"/>
            </w:pPr>
            <w:r>
              <w:t>Наименование жилищно-коммунальной услуги</w:t>
            </w:r>
          </w:p>
        </w:tc>
        <w:tc>
          <w:tcPr>
            <w:tcW w:w="688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A41A2" w:rsidRDefault="00CA41A2">
            <w:pPr>
              <w:pStyle w:val="table10"/>
              <w:jc w:val="center"/>
            </w:pPr>
            <w:r>
              <w:t>Единица измерения</w:t>
            </w:r>
          </w:p>
        </w:tc>
        <w:tc>
          <w:tcPr>
            <w:tcW w:w="3030" w:type="pct"/>
            <w:gridSpan w:val="2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A41A2" w:rsidRDefault="00CA41A2">
            <w:pPr>
              <w:pStyle w:val="table10"/>
              <w:jc w:val="center"/>
            </w:pPr>
            <w:r>
              <w:t>Норматив субсидирования для организаций, осуществляющих эксплуатацию жилищного фонда и (или) предоставляющих жилищно-коммунальные услуги (белорусских рублей на единицу жилищно-коммунальной услуги)</w:t>
            </w:r>
          </w:p>
        </w:tc>
      </w:tr>
      <w:tr w:rsidR="00CA41A2">
        <w:trPr>
          <w:trHeight w:val="240"/>
        </w:trPr>
        <w:tc>
          <w:tcPr>
            <w:tcW w:w="0" w:type="auto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1A2" w:rsidRDefault="00CA41A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1A2" w:rsidRDefault="00CA41A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A41A2" w:rsidRDefault="00CA41A2">
            <w:pPr>
              <w:pStyle w:val="table10"/>
              <w:jc w:val="center"/>
            </w:pPr>
            <w:r>
              <w:t>Ивьевское районное унитарное предприятие жилищно-коммунального хозяйства</w:t>
            </w:r>
          </w:p>
        </w:tc>
        <w:tc>
          <w:tcPr>
            <w:tcW w:w="1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A41A2" w:rsidRDefault="00CA41A2">
            <w:pPr>
              <w:pStyle w:val="table10"/>
              <w:jc w:val="center"/>
            </w:pPr>
            <w:r>
              <w:t>Барановичская дистанция гражданских сооружений транспортного республиканского унитарного предприятия «Барановичское отделение Белорусской железной дороги»</w:t>
            </w:r>
          </w:p>
        </w:tc>
      </w:tr>
      <w:tr w:rsidR="00CA41A2">
        <w:trPr>
          <w:trHeight w:val="240"/>
        </w:trPr>
        <w:tc>
          <w:tcPr>
            <w:tcW w:w="12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A41A2" w:rsidRDefault="00CA41A2">
            <w:pPr>
              <w:pStyle w:val="table10"/>
            </w:pPr>
            <w:r>
              <w:t>Водоснабжение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A41A2" w:rsidRDefault="00CA41A2">
            <w:pPr>
              <w:pStyle w:val="table10"/>
              <w:jc w:val="center"/>
            </w:pPr>
            <w:r>
              <w:t>1 кубический метр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A41A2" w:rsidRDefault="00CA41A2">
            <w:pPr>
              <w:pStyle w:val="table10"/>
              <w:jc w:val="center"/>
            </w:pPr>
            <w:r>
              <w:t>0,2120</w:t>
            </w:r>
          </w:p>
        </w:tc>
        <w:tc>
          <w:tcPr>
            <w:tcW w:w="1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A41A2" w:rsidRDefault="00CA41A2">
            <w:pPr>
              <w:pStyle w:val="table10"/>
              <w:jc w:val="center"/>
            </w:pPr>
            <w:r>
              <w:t>0,8745</w:t>
            </w:r>
          </w:p>
        </w:tc>
      </w:tr>
      <w:tr w:rsidR="00CA41A2">
        <w:trPr>
          <w:trHeight w:val="240"/>
        </w:trPr>
        <w:tc>
          <w:tcPr>
            <w:tcW w:w="12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A41A2" w:rsidRDefault="00CA41A2">
            <w:pPr>
              <w:pStyle w:val="table10"/>
            </w:pPr>
            <w:r>
              <w:t>Водоотведение (канализация)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A41A2" w:rsidRDefault="00CA41A2">
            <w:pPr>
              <w:pStyle w:val="table10"/>
              <w:jc w:val="center"/>
            </w:pPr>
            <w:r>
              <w:t>1 кубический метр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A41A2" w:rsidRDefault="00CA41A2">
            <w:pPr>
              <w:pStyle w:val="table10"/>
              <w:jc w:val="center"/>
            </w:pPr>
            <w:r>
              <w:t>0,5100</w:t>
            </w:r>
          </w:p>
        </w:tc>
        <w:tc>
          <w:tcPr>
            <w:tcW w:w="1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A41A2" w:rsidRDefault="00CA41A2">
            <w:pPr>
              <w:pStyle w:val="table10"/>
              <w:jc w:val="center"/>
            </w:pPr>
            <w:r>
              <w:t>–</w:t>
            </w:r>
          </w:p>
        </w:tc>
      </w:tr>
      <w:tr w:rsidR="00CA41A2">
        <w:trPr>
          <w:trHeight w:val="240"/>
        </w:trPr>
        <w:tc>
          <w:tcPr>
            <w:tcW w:w="12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A41A2" w:rsidRDefault="00CA41A2">
            <w:pPr>
              <w:pStyle w:val="table10"/>
            </w:pPr>
            <w:r>
              <w:t>Тепловая энергия для нужд отопления и горячего водоснабжения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A41A2" w:rsidRDefault="00CA41A2">
            <w:pPr>
              <w:pStyle w:val="table10"/>
              <w:jc w:val="center"/>
            </w:pPr>
            <w:r>
              <w:t>1 гигакалория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A41A2" w:rsidRDefault="00CA41A2">
            <w:pPr>
              <w:pStyle w:val="table10"/>
              <w:jc w:val="center"/>
            </w:pPr>
            <w:r>
              <w:t>111,2500</w:t>
            </w:r>
          </w:p>
        </w:tc>
        <w:tc>
          <w:tcPr>
            <w:tcW w:w="1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A41A2" w:rsidRDefault="00CA41A2">
            <w:pPr>
              <w:pStyle w:val="table10"/>
              <w:jc w:val="center"/>
            </w:pPr>
            <w:r>
              <w:t>–</w:t>
            </w:r>
          </w:p>
        </w:tc>
      </w:tr>
      <w:tr w:rsidR="00CA41A2">
        <w:trPr>
          <w:trHeight w:val="240"/>
        </w:trPr>
        <w:tc>
          <w:tcPr>
            <w:tcW w:w="1281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A41A2" w:rsidRDefault="00CA41A2">
            <w:pPr>
              <w:pStyle w:val="table10"/>
            </w:pPr>
            <w:r>
              <w:t>Техническое обслуживание жилищного фонда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A41A2" w:rsidRDefault="00CA41A2">
            <w:pPr>
              <w:pStyle w:val="table10"/>
              <w:jc w:val="center"/>
            </w:pPr>
            <w:r>
              <w:t>1 квадратный метр общей площади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A41A2" w:rsidRDefault="00CA41A2">
            <w:pPr>
              <w:pStyle w:val="table10"/>
              <w:jc w:val="center"/>
            </w:pPr>
            <w:r>
              <w:t>0,0125</w:t>
            </w:r>
          </w:p>
        </w:tc>
        <w:tc>
          <w:tcPr>
            <w:tcW w:w="1893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A41A2" w:rsidRDefault="00CA41A2">
            <w:pPr>
              <w:pStyle w:val="table10"/>
              <w:jc w:val="center"/>
            </w:pPr>
            <w:r>
              <w:t>–</w:t>
            </w:r>
          </w:p>
        </w:tc>
      </w:tr>
    </w:tbl>
    <w:p w:rsidR="00CA41A2" w:rsidRDefault="00CA41A2">
      <w:pPr>
        <w:pStyle w:val="newncpi"/>
      </w:pPr>
      <w:r>
        <w:t> </w:t>
      </w:r>
    </w:p>
    <w:p w:rsidR="00EF32C1" w:rsidRDefault="00EF32C1"/>
    <w:sectPr w:rsidR="00EF32C1" w:rsidSect="00D83707">
      <w:pgSz w:w="11906" w:h="16838"/>
      <w:pgMar w:top="567" w:right="1133" w:bottom="567" w:left="1416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1A2"/>
    <w:rsid w:val="005B43B8"/>
    <w:rsid w:val="0086659A"/>
    <w:rsid w:val="00CA41A2"/>
    <w:rsid w:val="00EF3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51D4FA-5EE6-4934-BA5D-7621A5A8F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kern w:val="2"/>
        <w:sz w:val="30"/>
        <w:szCs w:val="30"/>
        <w:lang w:val="ru-BY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CA41A2"/>
    <w:pPr>
      <w:spacing w:before="240" w:after="240"/>
      <w:ind w:right="2268"/>
    </w:pPr>
    <w:rPr>
      <w:rFonts w:eastAsia="Times New Roman"/>
      <w:b/>
      <w:bCs/>
      <w:kern w:val="0"/>
      <w:sz w:val="28"/>
      <w:szCs w:val="28"/>
      <w:lang w:eastAsia="ru-BY"/>
      <w14:ligatures w14:val="none"/>
    </w:rPr>
  </w:style>
  <w:style w:type="paragraph" w:customStyle="1" w:styleId="titlep">
    <w:name w:val="titlep"/>
    <w:basedOn w:val="a"/>
    <w:rsid w:val="00CA41A2"/>
    <w:pPr>
      <w:spacing w:before="240" w:after="240"/>
      <w:jc w:val="center"/>
    </w:pPr>
    <w:rPr>
      <w:rFonts w:eastAsiaTheme="minorEastAsia"/>
      <w:b/>
      <w:bCs/>
      <w:kern w:val="0"/>
      <w:sz w:val="24"/>
      <w:szCs w:val="24"/>
      <w:lang w:eastAsia="ru-BY"/>
      <w14:ligatures w14:val="none"/>
    </w:rPr>
  </w:style>
  <w:style w:type="paragraph" w:customStyle="1" w:styleId="point">
    <w:name w:val="point"/>
    <w:basedOn w:val="a"/>
    <w:rsid w:val="00CA41A2"/>
    <w:pPr>
      <w:ind w:firstLine="567"/>
      <w:jc w:val="both"/>
    </w:pPr>
    <w:rPr>
      <w:rFonts w:eastAsiaTheme="minorEastAsia"/>
      <w:kern w:val="0"/>
      <w:sz w:val="24"/>
      <w:szCs w:val="24"/>
      <w:lang w:eastAsia="ru-BY"/>
      <w14:ligatures w14:val="none"/>
    </w:rPr>
  </w:style>
  <w:style w:type="paragraph" w:customStyle="1" w:styleId="preamble">
    <w:name w:val="preamble"/>
    <w:basedOn w:val="a"/>
    <w:rsid w:val="00CA41A2"/>
    <w:pPr>
      <w:ind w:firstLine="567"/>
      <w:jc w:val="both"/>
    </w:pPr>
    <w:rPr>
      <w:rFonts w:eastAsiaTheme="minorEastAsia"/>
      <w:kern w:val="0"/>
      <w:sz w:val="24"/>
      <w:szCs w:val="24"/>
      <w:lang w:eastAsia="ru-BY"/>
      <w14:ligatures w14:val="none"/>
    </w:rPr>
  </w:style>
  <w:style w:type="paragraph" w:customStyle="1" w:styleId="table10">
    <w:name w:val="table10"/>
    <w:basedOn w:val="a"/>
    <w:rsid w:val="00CA41A2"/>
    <w:rPr>
      <w:rFonts w:eastAsiaTheme="minorEastAsia"/>
      <w:kern w:val="0"/>
      <w:sz w:val="20"/>
      <w:szCs w:val="20"/>
      <w:lang w:eastAsia="ru-BY"/>
      <w14:ligatures w14:val="none"/>
    </w:rPr>
  </w:style>
  <w:style w:type="paragraph" w:customStyle="1" w:styleId="append">
    <w:name w:val="append"/>
    <w:basedOn w:val="a"/>
    <w:rsid w:val="00CA41A2"/>
    <w:rPr>
      <w:rFonts w:eastAsiaTheme="minorEastAsia"/>
      <w:kern w:val="0"/>
      <w:sz w:val="22"/>
      <w:szCs w:val="22"/>
      <w:lang w:eastAsia="ru-BY"/>
      <w14:ligatures w14:val="none"/>
    </w:rPr>
  </w:style>
  <w:style w:type="paragraph" w:customStyle="1" w:styleId="append1">
    <w:name w:val="append1"/>
    <w:basedOn w:val="a"/>
    <w:rsid w:val="00CA41A2"/>
    <w:pPr>
      <w:spacing w:after="28"/>
    </w:pPr>
    <w:rPr>
      <w:rFonts w:eastAsiaTheme="minorEastAsia"/>
      <w:kern w:val="0"/>
      <w:sz w:val="22"/>
      <w:szCs w:val="22"/>
      <w:lang w:eastAsia="ru-BY"/>
      <w14:ligatures w14:val="none"/>
    </w:rPr>
  </w:style>
  <w:style w:type="paragraph" w:customStyle="1" w:styleId="newncpi">
    <w:name w:val="newncpi"/>
    <w:basedOn w:val="a"/>
    <w:rsid w:val="00CA41A2"/>
    <w:pPr>
      <w:ind w:firstLine="567"/>
      <w:jc w:val="both"/>
    </w:pPr>
    <w:rPr>
      <w:rFonts w:eastAsiaTheme="minorEastAsia"/>
      <w:kern w:val="0"/>
      <w:sz w:val="24"/>
      <w:szCs w:val="24"/>
      <w:lang w:eastAsia="ru-BY"/>
      <w14:ligatures w14:val="none"/>
    </w:rPr>
  </w:style>
  <w:style w:type="paragraph" w:customStyle="1" w:styleId="newncpi0">
    <w:name w:val="newncpi0"/>
    <w:basedOn w:val="a"/>
    <w:rsid w:val="00CA41A2"/>
    <w:pPr>
      <w:jc w:val="both"/>
    </w:pPr>
    <w:rPr>
      <w:rFonts w:eastAsiaTheme="minorEastAsia"/>
      <w:kern w:val="0"/>
      <w:sz w:val="24"/>
      <w:szCs w:val="24"/>
      <w:lang w:eastAsia="ru-BY"/>
      <w14:ligatures w14:val="none"/>
    </w:rPr>
  </w:style>
  <w:style w:type="character" w:customStyle="1" w:styleId="name">
    <w:name w:val="name"/>
    <w:basedOn w:val="a0"/>
    <w:rsid w:val="00CA41A2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CA41A2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CA41A2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CA41A2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CA41A2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CA41A2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281</Words>
  <Characters>1608</Characters>
  <Application>Microsoft Office Word</Application>
  <DocSecurity>0</DocSecurity>
  <Lines>13</Lines>
  <Paragraphs>3</Paragraphs>
  <ScaleCrop>false</ScaleCrop>
  <Company/>
  <LinksUpToDate>false</LinksUpToDate>
  <CharactersWithSpaces>1886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 Михайлович Герасимчук</dc:creator>
  <cp:keywords/>
  <dc:description/>
  <cp:lastModifiedBy>Олег Михайлович Герасимчук</cp:lastModifiedBy>
  <cp:revision>1</cp:revision>
  <dcterms:created xsi:type="dcterms:W3CDTF">2025-01-28T13:00:00Z</dcterms:created>
  <dcterms:modified xsi:type="dcterms:W3CDTF">2025-01-28T13:00:00Z</dcterms:modified>
</cp:coreProperties>
</file>